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SOCIAL S</w:t>
      </w:r>
      <w:r w:rsidR="00C635AE"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>TUDIES</w:t>
      </w:r>
      <w:r>
        <w:rPr>
          <w:rFonts w:ascii="TimesNewRoman,Bold" w:hAnsi="TimesNewRoman,Bold" w:cs="TimesNewRoman,Bold"/>
          <w:b/>
          <w:bCs/>
          <w:color w:val="000000"/>
          <w:sz w:val="20"/>
          <w:szCs w:val="20"/>
        </w:rPr>
        <w:t xml:space="preserve"> RUBRIC</w:t>
      </w:r>
      <w:bookmarkStart w:id="0" w:name="_GoBack"/>
      <w:bookmarkEnd w:id="0"/>
    </w:p>
    <w:p w:rsidR="00C635AE" w:rsidRDefault="00C635AE" w:rsidP="009F621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color w:val="000000"/>
          <w:sz w:val="20"/>
          <w:szCs w:val="20"/>
        </w:rPr>
      </w:pP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NAME _______________________________________________ DATE _______________________________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F6218" w:rsidTr="009F6218"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C635A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8 or 7</w:t>
            </w:r>
          </w:p>
          <w:p w:rsidR="0076778E" w:rsidRDefault="0076778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Exceeding Expectations</w:t>
            </w:r>
          </w:p>
        </w:tc>
        <w:tc>
          <w:tcPr>
            <w:tcW w:w="1915" w:type="dxa"/>
          </w:tcPr>
          <w:p w:rsidR="009F6218" w:rsidRDefault="00C635A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6 or 5</w:t>
            </w:r>
          </w:p>
          <w:p w:rsidR="0076778E" w:rsidRDefault="0076778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Fully Meeting Expectations</w:t>
            </w:r>
          </w:p>
        </w:tc>
        <w:tc>
          <w:tcPr>
            <w:tcW w:w="1915" w:type="dxa"/>
          </w:tcPr>
          <w:p w:rsidR="009F6218" w:rsidRDefault="00C635A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4 or 3</w:t>
            </w:r>
          </w:p>
          <w:p w:rsidR="0076778E" w:rsidRDefault="0076778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Minimally Meeting Expectations</w:t>
            </w:r>
          </w:p>
        </w:tc>
        <w:tc>
          <w:tcPr>
            <w:tcW w:w="1916" w:type="dxa"/>
          </w:tcPr>
          <w:p w:rsidR="009F6218" w:rsidRDefault="00C635A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2 or 1</w:t>
            </w:r>
          </w:p>
          <w:p w:rsidR="0076778E" w:rsidRDefault="0076778E" w:rsidP="00C635A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Not Yet Meeting Expectations</w:t>
            </w:r>
          </w:p>
        </w:tc>
      </w:tr>
      <w:tr w:rsidR="009F6218" w:rsidTr="009F6218"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18"/>
                <w:szCs w:val="18"/>
              </w:rPr>
              <w:t xml:space="preserve">Knowledge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of evidence from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 social sciences: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facts/supporting details;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themes/issues;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concepts/ideas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Key concepts/themes/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issues/ideas </w:t>
            </w:r>
            <w:r w:rsidR="009F6218">
              <w:rPr>
                <w:rFonts w:ascii="TimesNewRoman" w:hAnsi="TimesNewRoman" w:cs="TimesNewRoman"/>
                <w:color w:val="000000"/>
                <w:sz w:val="18"/>
                <w:szCs w:val="18"/>
              </w:rPr>
              <w:t>thoroughly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identified, defined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described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Significant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facts/supporting details 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included and accurately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described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>Has few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or no factual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inaccuracies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Key concepts/themes/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issues/ideas</w:t>
            </w:r>
            <w:r w:rsidR="009F6218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identified,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defined, and described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>Facts/supporting details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included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May have a major factual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inaccuracy, but most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information is correct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Some key concepts/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themes/issues/ideas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identified, defined,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described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Some facts/supporting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details</w:t>
            </w:r>
            <w:r w:rsidR="009F6218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included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Has some correct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some incorrect information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Few or no key concepts/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themes/issues/ideas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identified, defined, and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described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Few or no facts/supporting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details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included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Information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largely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inaccurate, absent or irrelevant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</w:tr>
      <w:tr w:rsidR="009F6218" w:rsidTr="009F6218"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18"/>
                <w:szCs w:val="18"/>
              </w:rPr>
              <w:t xml:space="preserve">Reasoning: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Analysis,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evaluation, and synthesis of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</w:t>
            </w:r>
            <w:proofErr w:type="gramEnd"/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.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Identifies &amp;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logically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organizes almost all relevant </w:t>
            </w:r>
            <w:r w:rsidR="009F6218"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Uses appropriate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comprehensive critical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thinking skills and habits of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mind to analyze, evaluate,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synthesize 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Reaches informed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conclusions based on the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Identifies &amp;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organizes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most of the relevant 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Uses partial critical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thinking skills and habits of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mind to analyze, evaluate,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synthesize 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Reaches informed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conclusions based on the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Identifies some relevant evidence and omits most of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 other 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Uses unclear,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inappropriate, or incomplete</w:t>
            </w:r>
          </w:p>
          <w:p w:rsidR="009F6218" w:rsidRDefault="00C635AE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critical thinking skills and habits of mind to analyze, </w:t>
            </w:r>
            <w:r w:rsidR="009F6218">
              <w:rPr>
                <w:rFonts w:ascii="TimesNewRoman" w:hAnsi="TimesNewRoman" w:cs="TimesNewRoman"/>
                <w:color w:val="000000"/>
                <w:sz w:val="18"/>
                <w:szCs w:val="18"/>
              </w:rPr>
              <w:t>evaluate, and synthesize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Reaches incomplete or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inaccurate conclusions based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on the 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Important evidence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relevant to the problem is not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identified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Critical thinking skills and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habits of mind are absent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Conclusions are lacking,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absent or unclear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</w:tr>
      <w:tr w:rsidR="009F6218" w:rsidTr="009F6218"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18"/>
                <w:szCs w:val="18"/>
              </w:rPr>
              <w:t xml:space="preserve">Communication: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Demonstrates knowledge and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reasoning through oral, written, visual, dramatic,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or mixed media presentation</w:t>
            </w: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Almost all ideas in the presentation are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expressed in a wa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y that provides evidence of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student's knowledge and reasoning processes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 presentation is well focused with a well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>-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defined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thesis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shows substantial evidence of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organization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sh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ows attention to the details of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specific performance conventions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Most ideas in the presentation are expressed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 a way that provides evidence of the student's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knowledge and reasoning processes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 presen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tation demonstrates a focus and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thesis with several narrative gaps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demonstrates adequate evidence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of organization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h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as </w:t>
            </w:r>
            <w:r w:rsidR="0076778E">
              <w:rPr>
                <w:rFonts w:ascii="TimesNewRoman" w:hAnsi="TimesNewRoman" w:cs="TimesNewRoman"/>
                <w:color w:val="000000"/>
                <w:sz w:val="18"/>
                <w:szCs w:val="18"/>
              </w:rPr>
              <w:t>errors</w:t>
            </w:r>
            <w:r w:rsidR="00C635AE"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in attention to the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details of specific performance conventions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</w:tcPr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Some ideas in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the presentation are expressed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in a way that provides evidence of the student's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knowledge and reasoning processes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 presentation demonstrates an inadequate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focus and thesis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demonstrates inadequate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 of organization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ha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s insufficient attention to the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details of specific performance conventions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  <w:tc>
          <w:tcPr>
            <w:tcW w:w="1916" w:type="dxa"/>
          </w:tcPr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Expression of almost all ideas in the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is unclear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The presentati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on demonstrate little focus and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lacks a thesis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ation demonstrates little or no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evidence of organization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r>
              <w:rPr>
                <w:rFonts w:ascii="SymbolMT" w:hAnsi="SymbolMT" w:cs="SymbolMT"/>
                <w:color w:val="000000"/>
                <w:sz w:val="18"/>
                <w:szCs w:val="18"/>
              </w:rPr>
              <w:t xml:space="preserve">•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Presentation has multiple mistakes in</w:t>
            </w:r>
          </w:p>
          <w:p w:rsidR="00C635AE" w:rsidRDefault="00C635AE" w:rsidP="00C635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atten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tion</w:t>
            </w:r>
            <w:proofErr w:type="gramEnd"/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 xml:space="preserve"> to the details of specific performance </w:t>
            </w:r>
            <w:r>
              <w:rPr>
                <w:rFonts w:ascii="TimesNewRoman" w:hAnsi="TimesNewRoman" w:cs="TimesNewRoman"/>
                <w:color w:val="000000"/>
                <w:sz w:val="18"/>
                <w:szCs w:val="18"/>
              </w:rPr>
              <w:t>conventions.</w:t>
            </w:r>
          </w:p>
          <w:p w:rsidR="009F6218" w:rsidRDefault="009F6218" w:rsidP="009F62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000000"/>
                <w:sz w:val="18"/>
                <w:szCs w:val="18"/>
              </w:rPr>
            </w:pPr>
          </w:p>
        </w:tc>
      </w:tr>
    </w:tbl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18"/>
          <w:szCs w:val="18"/>
        </w:rPr>
      </w:pPr>
    </w:p>
    <w:p w:rsidR="0076778E" w:rsidRDefault="0076778E" w:rsidP="009F6218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FF"/>
          <w:sz w:val="36"/>
          <w:szCs w:val="36"/>
        </w:rPr>
      </w:pPr>
    </w:p>
    <w:p w:rsidR="009F6218" w:rsidRPr="007844D8" w:rsidRDefault="00C635AE" w:rsidP="009F6218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FF"/>
          <w:sz w:val="32"/>
          <w:szCs w:val="32"/>
        </w:rPr>
      </w:pPr>
      <w:r w:rsidRPr="007844D8">
        <w:rPr>
          <w:rFonts w:ascii="ArialNarrow-Bold" w:hAnsi="ArialNarrow-Bold" w:cs="ArialNarrow-Bold"/>
          <w:b/>
          <w:bCs/>
          <w:color w:val="0000FF"/>
          <w:sz w:val="32"/>
          <w:szCs w:val="32"/>
        </w:rPr>
        <w:lastRenderedPageBreak/>
        <w:t>The Social Studies</w:t>
      </w:r>
      <w:r w:rsidR="009F6218" w:rsidRPr="007844D8">
        <w:rPr>
          <w:rFonts w:ascii="ArialNarrow-Bold" w:hAnsi="ArialNarrow-Bold" w:cs="ArialNarrow-Bold"/>
          <w:b/>
          <w:bCs/>
          <w:color w:val="0000FF"/>
          <w:sz w:val="32"/>
          <w:szCs w:val="32"/>
        </w:rPr>
        <w:t xml:space="preserve"> Rubric</w:t>
      </w:r>
    </w:p>
    <w:p w:rsidR="009F6218" w:rsidRPr="007844D8" w:rsidRDefault="00C635A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This rubric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 xml:space="preserve"> separates the skills a student p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ossesses into three dimensions: 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 xml:space="preserve">knowledge, reasoning, and communication. The three dimensions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overlap 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>to show what students know and what they can do. Each dimensio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n of the rubric is divided into 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>four levels. Each level is defined by several criteria, which reflect a student's abilities and skills.</w:t>
      </w:r>
    </w:p>
    <w:p w:rsidR="007C0079" w:rsidRPr="007844D8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C635AE" w:rsidP="007C00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“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Exceeding E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xpectations” and “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Fully Meeting E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xpectations”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 xml:space="preserve"> are designed to differentiate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among students whose knowledge, 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 xml:space="preserve">reasoning, and communication skills are developed.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“Minimally Meeting Expectations” and “Not Yet Meeting Expectations” represent a 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 xml:space="preserve">student's knowledge, reasoning, and communication skills that are still developing. </w:t>
      </w:r>
    </w:p>
    <w:p w:rsidR="007C0079" w:rsidRPr="007844D8" w:rsidRDefault="007C0079" w:rsidP="007C00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</w:pPr>
      <w:r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 xml:space="preserve">The gap between </w:t>
      </w:r>
      <w:r w:rsidR="007C0079"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“Fully Meeting”</w:t>
      </w:r>
      <w:r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 xml:space="preserve"> and </w:t>
      </w:r>
      <w:r w:rsidR="007C0079"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“Minimally Meeting”</w:t>
      </w:r>
      <w:r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 xml:space="preserve"> is wider than the gap between any</w:t>
      </w:r>
      <w:r w:rsidR="007C0079"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 xml:space="preserve"> of the other levels because it </w:t>
      </w:r>
      <w:r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differentiates between a student whose skills are still developing</w:t>
      </w:r>
      <w:r w:rsidR="007C0079"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 xml:space="preserve"> and a student whose skills are </w:t>
      </w:r>
      <w:r w:rsidRPr="007844D8">
        <w:rPr>
          <w:rFonts w:ascii="TimesNewRoman,Italic" w:hAnsi="TimesNewRoman,Italic" w:cs="TimesNewRoman,Italic"/>
          <w:i/>
          <w:iCs/>
          <w:color w:val="000000"/>
          <w:sz w:val="20"/>
          <w:szCs w:val="20"/>
        </w:rPr>
        <w:t>developed.</w:t>
      </w:r>
    </w:p>
    <w:p w:rsidR="007C0079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color w:val="000000"/>
        </w:rPr>
      </w:pPr>
    </w:p>
    <w:p w:rsidR="009F6218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0"/>
          <w:szCs w:val="20"/>
        </w:rPr>
        <w:t>Students can be at different levels in different skills. For example, a student might have a lot of knowledge, but have difficulty communicating the knowledge. Teachers take this into account.</w:t>
      </w:r>
    </w:p>
    <w:p w:rsidR="007C0079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FF"/>
          <w:sz w:val="28"/>
          <w:szCs w:val="28"/>
        </w:rPr>
      </w:pPr>
      <w:r>
        <w:rPr>
          <w:rFonts w:ascii="ArialNarrow-Bold" w:hAnsi="ArialNarrow-Bold" w:cs="ArialNarrow-Bold"/>
          <w:b/>
          <w:bCs/>
          <w:color w:val="0000FF"/>
          <w:sz w:val="28"/>
          <w:szCs w:val="28"/>
        </w:rPr>
        <w:t>Dimension 1: Knowledge</w:t>
      </w: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Knowledge of evidence from the social sciences: facts/support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ing details; themes/issues; and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concepts/ideas</w:t>
      </w:r>
    </w:p>
    <w:p w:rsidR="007C0079" w:rsidRPr="007844D8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7C00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Knowledge of evidence is basic to the social sciences. Students who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have high knowledge skill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are able to demonstrate their ability to identify, define, and describe key concepts, themes,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issues, and ideas; they show their awareness of the connection between ke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y facts and supporting details;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and they are accurate in their use of facts and details.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They are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thorough, inclusive, and accurate.</w:t>
      </w:r>
    </w:p>
    <w:p w:rsidR="0076778E" w:rsidRPr="007844D8" w:rsidRDefault="0076778E" w:rsidP="007C007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Similarly, studen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ts who are developing knowledge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are unable to demonstrate their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ability to identify, define, and describe key concepts, themes, issues, and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ideas; they show an inadequate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awareness of the connection between key facts and supporting details; and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they are largely inaccurate in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their use of facts and details.</w:t>
      </w:r>
    </w:p>
    <w:p w:rsidR="007C0079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</w:p>
    <w:p w:rsidR="009F6218" w:rsidRPr="007C0079" w:rsidRDefault="009F6218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  <w:color w:val="0000FF"/>
          <w:sz w:val="28"/>
          <w:szCs w:val="28"/>
        </w:rPr>
      </w:pPr>
      <w:r w:rsidRPr="007C0079">
        <w:rPr>
          <w:rFonts w:ascii="ArialNarrow" w:hAnsi="ArialNarrow" w:cs="ArialNarrow"/>
          <w:b/>
          <w:color w:val="0000FF"/>
          <w:sz w:val="28"/>
          <w:szCs w:val="28"/>
        </w:rPr>
        <w:t>Dimension 2: Reasoning</w:t>
      </w:r>
    </w:p>
    <w:p w:rsidR="009F6218" w:rsidRPr="007844D8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Students must </w:t>
      </w:r>
      <w:r w:rsidR="009F6218" w:rsidRPr="007844D8">
        <w:rPr>
          <w:rFonts w:ascii="TimesNewRoman" w:hAnsi="TimesNewRoman" w:cs="TimesNewRoman"/>
          <w:color w:val="000000"/>
          <w:sz w:val="20"/>
          <w:szCs w:val="20"/>
        </w:rPr>
        <w:t>also be able to demonstrate the ability to reason. Reasoning makes facts, issues, and concepts meaningful.</w:t>
      </w:r>
    </w:p>
    <w:p w:rsidR="007C0079" w:rsidRPr="007844D8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Reasoning involves translation, interpretation, application, analysi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s, synthesis, and evaluation of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information.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Students must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discove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r relationships among facts and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generalizations, values and opinions. Reasoning abilities and skills also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include accessing, classifying,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and applying information to provide a solution to a problem, to make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a judgment, or reach a logical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conclusion.</w:t>
      </w:r>
    </w:p>
    <w:p w:rsidR="007C0079" w:rsidRPr="007844D8" w:rsidRDefault="007C0079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A student with developed reasoning ability must be able to organize evidence an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d select and apply an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appropriate method for analysis, evaluation, and synthesis. To analyze and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evaluate evidence effectively,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whether that evidence is presented in a printed document, a song, poem, p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icture, or statistical table, a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student must ask releva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>nt questions.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 student with developed reasoning abilities also uses critical thinki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ng skills and habits of mind to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evaluate evidence. These thinking skills and habits of mind inc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lude comparing and contrasting,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identifying causes and effects, developing and recognizing alternative s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olutions, showing relationships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among concepts, recognizing bias, separating fact from opinion, identifying inconsistencies in logic,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avoiding present-mindedness, and maintaining an empathetic attitude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 toward the people under study.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Students who possess habits 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of mind display self-discipline </w:t>
      </w:r>
      <w:r w:rsidR="007844D8">
        <w:rPr>
          <w:rFonts w:ascii="TimesNewRoman" w:hAnsi="TimesNewRoman" w:cs="TimesNewRoman"/>
          <w:color w:val="000000"/>
          <w:sz w:val="20"/>
          <w:szCs w:val="20"/>
        </w:rPr>
        <w:t>as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thinker</w:t>
      </w:r>
      <w:r w:rsidR="007844D8">
        <w:rPr>
          <w:rFonts w:ascii="TimesNewRoman" w:hAnsi="TimesNewRoman" w:cs="TimesNewRoman"/>
          <w:color w:val="000000"/>
          <w:sz w:val="20"/>
          <w:szCs w:val="20"/>
        </w:rPr>
        <w:t>s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. </w:t>
      </w:r>
      <w:r w:rsidR="007844D8">
        <w:rPr>
          <w:rFonts w:ascii="TimesNewRoman" w:hAnsi="TimesNewRoman" w:cs="TimesNewRoman"/>
          <w:color w:val="000000"/>
          <w:sz w:val="20"/>
          <w:szCs w:val="20"/>
        </w:rPr>
        <w:t>They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create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 projects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with care and thoroughness.</w:t>
      </w:r>
    </w:p>
    <w:p w:rsidR="0076778E" w:rsidRPr="007844D8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Students who are develo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ping their ability in reasoning fail to organize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information for proper analysis and may omit evidence. A develo</w:t>
      </w:r>
      <w:r w:rsidR="007C0079" w:rsidRPr="007844D8">
        <w:rPr>
          <w:rFonts w:ascii="TimesNewRoman" w:hAnsi="TimesNewRoman" w:cs="TimesNewRoman"/>
          <w:color w:val="000000"/>
          <w:sz w:val="20"/>
          <w:szCs w:val="20"/>
        </w:rPr>
        <w:t xml:space="preserve">ping student may also select an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inappropriate method for analyzing, evaluating, and synthesizing ev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idence. Students who are in the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process of developing reasoning skills have difficulty thinking criticall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y. For example, they may accept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evidence at face value without subjecting it to any critical analysis or evalua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tion. Finally, the inability to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reach a rea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sonable, informed conclusion indicates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 student who is still in the developing stage.</w:t>
      </w:r>
    </w:p>
    <w:p w:rsidR="009F6218" w:rsidRPr="0076778E" w:rsidRDefault="009F6218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  <w:color w:val="0000FF"/>
          <w:sz w:val="28"/>
          <w:szCs w:val="28"/>
        </w:rPr>
      </w:pPr>
      <w:r w:rsidRPr="0076778E">
        <w:rPr>
          <w:rFonts w:ascii="ArialNarrow" w:hAnsi="ArialNarrow" w:cs="ArialNarrow"/>
          <w:b/>
          <w:color w:val="0000FF"/>
          <w:sz w:val="28"/>
          <w:szCs w:val="28"/>
        </w:rPr>
        <w:lastRenderedPageBreak/>
        <w:t>Dimension 3: Communication</w:t>
      </w: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Demonstrate knowledge and reasoning through oral, written, v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isual, dramatic, or mixed media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presentations</w:t>
      </w:r>
    </w:p>
    <w:p w:rsidR="0076778E" w:rsidRPr="007844D8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To be useful, a student's knowledge and reasoning must be communicated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 to a wider audience. Effective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communication requires focus and organization. 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A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student must be able to identify issues an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d concepts clearly, explain the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various parts of a problem, and present possible resolutions.</w:t>
      </w: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The most important aspect of communication is the student's ability to express clearly his or her ideas.</w:t>
      </w: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Clarity depends upon organization. A well-organized presentation includes a focus statement, su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pplies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relevant examples to support main ideas, and offers conclusions bas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>ed on evidence. Furthermore, an effective presentation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provides evidence of a st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udent's knowledge and reasoning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processes.</w:t>
      </w:r>
    </w:p>
    <w:p w:rsidR="0076778E" w:rsidRPr="007844D8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A student can select a variety of techniques to communicate his or her knowledge and reasoning skills.</w:t>
      </w: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Each communication technique has its own conventions which teacher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s should take into account. For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example, assessing an oral report may include such conventions as effect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ive use of voice, gestures, eye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contact, and use of visual aids. Assessing a student-made exhibit might 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include such conventions as the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use of color, neatness, captions, and the selection of appropriate pictures, photographs, maps, and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 other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materials.</w:t>
      </w:r>
    </w:p>
    <w:p w:rsidR="0076778E" w:rsidRPr="007844D8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9F6218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A student who has developed ability in communication demonstrates know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ledge and reasoning skills in a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clear and organized fashion. The presentation will also take into account 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the appropriate conventions for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the selected activity. A higher 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>has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 main ideas and reasoning processes 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which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are focused, well dev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eloped, and clearly articulated.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Finally, a presentation at the highest level of devel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opment meets all the convention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standards for the type of activity the teacher assigns or the student selects.</w:t>
      </w:r>
    </w:p>
    <w:p w:rsidR="0076778E" w:rsidRPr="007844D8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</w:p>
    <w:p w:rsidR="0076778E" w:rsidRP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 w:rsidRPr="007844D8">
        <w:rPr>
          <w:rFonts w:ascii="TimesNewRoman" w:hAnsi="TimesNewRoman" w:cs="TimesNewRoman"/>
          <w:color w:val="000000"/>
          <w:sz w:val="20"/>
          <w:szCs w:val="20"/>
        </w:rPr>
        <w:t>A student who is developing his or her communication skills lacks the a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bility to present knowledge and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reasoning clearly and effectively in an organized presentation. That is, a 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student who is still developing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cannot successfully provide a thesis or a focus statement, or convey in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formation through examples that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support and elaborate a main idea, or present an informed conclusio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n. Lastly, a developing student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>neglects the details of the performance convention that he or she has sel</w:t>
      </w:r>
      <w:r w:rsidR="0076778E" w:rsidRPr="007844D8">
        <w:rPr>
          <w:rFonts w:ascii="TimesNewRoman" w:hAnsi="TimesNewRoman" w:cs="TimesNewRoman"/>
          <w:color w:val="000000"/>
          <w:sz w:val="20"/>
          <w:szCs w:val="20"/>
        </w:rPr>
        <w:t xml:space="preserve">ected as a means to communicate </w:t>
      </w:r>
      <w:r w:rsidRPr="007844D8">
        <w:rPr>
          <w:rFonts w:ascii="TimesNewRoman" w:hAnsi="TimesNewRoman" w:cs="TimesNewRoman"/>
          <w:color w:val="000000"/>
          <w:sz w:val="20"/>
          <w:szCs w:val="20"/>
        </w:rPr>
        <w:t xml:space="preserve">knowledge and reasoning. </w:t>
      </w:r>
    </w:p>
    <w:p w:rsidR="0076778E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</w:p>
    <w:p w:rsidR="007844D8" w:rsidRDefault="007844D8" w:rsidP="007844D8">
      <w:pPr>
        <w:spacing w:after="0"/>
        <w:rPr>
          <w:rFonts w:ascii="ArialNarrow" w:hAnsi="ArialNarrow" w:cs="ArialNarrow"/>
          <w:color w:val="0000FF"/>
          <w:sz w:val="36"/>
          <w:szCs w:val="36"/>
        </w:rPr>
        <w:sectPr w:rsidR="007844D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44D8" w:rsidRDefault="009F6218" w:rsidP="007844D8">
      <w:pPr>
        <w:spacing w:after="0"/>
        <w:rPr>
          <w:rFonts w:ascii="TimesNewRoman" w:hAnsi="TimesNewRoman" w:cs="TimesNewRoman"/>
          <w:color w:val="000000"/>
        </w:rPr>
      </w:pPr>
      <w:r>
        <w:rPr>
          <w:rFonts w:ascii="ArialNarrow" w:hAnsi="ArialNarrow" w:cs="ArialNarrow"/>
          <w:color w:val="0000FF"/>
          <w:sz w:val="36"/>
          <w:szCs w:val="36"/>
        </w:rPr>
        <w:lastRenderedPageBreak/>
        <w:t>Critical Thinking Skills</w:t>
      </w:r>
    </w:p>
    <w:p w:rsidR="007844D8" w:rsidRDefault="009F6218" w:rsidP="007844D8">
      <w:pPr>
        <w:spacing w:after="0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 w:rsidR="007844D8">
        <w:rPr>
          <w:rFonts w:ascii="TimesNewRoman" w:hAnsi="TimesNewRoman" w:cs="TimesNewRoman"/>
          <w:color w:val="000000"/>
        </w:rPr>
        <w:t>Identifying central issues</w:t>
      </w:r>
    </w:p>
    <w:p w:rsidR="009F6218" w:rsidRDefault="009F6218" w:rsidP="007844D8">
      <w:pPr>
        <w:spacing w:after="0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Making comparisons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Determining relevant information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Formulating appropriate questions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Expressing problems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Distinguishing fact from opinion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Recognizing bias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Distinguishing false from accurate images.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Analyzing cause and effect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Drawing conclusions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Identifying alternatives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Testing conclusions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Predicting consequences</w:t>
      </w:r>
    </w:p>
    <w:p w:rsidR="009F6218" w:rsidRDefault="009F6218" w:rsidP="007844D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Demonstrating reasoned judgment</w:t>
      </w:r>
    </w:p>
    <w:p w:rsidR="0076778E" w:rsidRDefault="007844D8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FF"/>
          <w:sz w:val="36"/>
          <w:szCs w:val="36"/>
        </w:rPr>
      </w:pPr>
      <w:r>
        <w:rPr>
          <w:rFonts w:ascii="TimesNewRoman" w:hAnsi="TimesNewRoman" w:cs="TimesNew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8C2DE" wp14:editId="5D9898A3">
                <wp:simplePos x="0" y="0"/>
                <wp:positionH relativeFrom="column">
                  <wp:posOffset>-129540</wp:posOffset>
                </wp:positionH>
                <wp:positionV relativeFrom="paragraph">
                  <wp:posOffset>80010</wp:posOffset>
                </wp:positionV>
                <wp:extent cx="2506980" cy="1752600"/>
                <wp:effectExtent l="0" t="0" r="2667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" w:hAnsi="TimesNewRoman" w:cs="TimesNewRoman"/>
                                <w:color w:val="000000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color w:val="000000"/>
                              </w:rPr>
                              <w:t>Adapted from Alternative Assessment in the Social Sciences:</w:t>
                            </w:r>
                          </w:p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AUTHORS</w:t>
                            </w:r>
                          </w:p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Lawrence W. McBride</w:t>
                            </w:r>
                          </w:p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Frederick D. Drake</w:t>
                            </w:r>
                          </w:p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Marcel Lewinski</w:t>
                            </w:r>
                          </w:p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78787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787878"/>
                                <w:sz w:val="24"/>
                                <w:szCs w:val="24"/>
                              </w:rPr>
                              <w:t>Illinois State University</w:t>
                            </w:r>
                          </w:p>
                          <w:p w:rsidR="007844D8" w:rsidRDefault="007844D8" w:rsidP="007844D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John C. Craig</w:t>
                            </w:r>
                          </w:p>
                          <w:p w:rsidR="007844D8" w:rsidRPr="009F6218" w:rsidRDefault="007844D8" w:rsidP="007844D8"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Illinois State Board of Education</w:t>
                            </w:r>
                          </w:p>
                          <w:p w:rsidR="007844D8" w:rsidRDefault="007844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2pt;margin-top:6.3pt;width:197.4pt;height:13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" fillcolor="white [3201]" strokeweight=".5pt">
                <v:textbox>
                  <w:txbxContent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" w:hAnsi="TimesNewRoman" w:cs="TimesNewRoman"/>
                          <w:color w:val="000000"/>
                        </w:rPr>
                      </w:pPr>
                      <w:r>
                        <w:rPr>
                          <w:rFonts w:ascii="TimesNewRoman" w:hAnsi="TimesNewRoman" w:cs="TimesNewRoman"/>
                          <w:color w:val="000000"/>
                        </w:rPr>
                        <w:t>Adapted from Alternative Assessment in the Social Sciences:</w:t>
                      </w:r>
                    </w:p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  <w:t>AUTHORS</w:t>
                      </w:r>
                    </w:p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  <w:t>Lawrence W. McBride</w:t>
                      </w:r>
                    </w:p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  <w:t>Frederick D. Drake</w:t>
                      </w:r>
                    </w:p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  <w:t>Marcel Lewinski</w:t>
                      </w:r>
                    </w:p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color w:val="787878"/>
                          <w:sz w:val="24"/>
                          <w:szCs w:val="24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787878"/>
                          <w:sz w:val="24"/>
                          <w:szCs w:val="24"/>
                        </w:rPr>
                        <w:t>Illinois State University</w:t>
                      </w:r>
                    </w:p>
                    <w:p w:rsidR="007844D8" w:rsidRDefault="007844D8" w:rsidP="007844D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  <w:t>John C. Craig</w:t>
                      </w:r>
                    </w:p>
                    <w:p w:rsidR="007844D8" w:rsidRPr="009F6218" w:rsidRDefault="007844D8" w:rsidP="007844D8"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color w:val="000000"/>
                          <w:sz w:val="24"/>
                          <w:szCs w:val="24"/>
                        </w:rPr>
                        <w:t>Illinois State Board of Education</w:t>
                      </w:r>
                    </w:p>
                    <w:p w:rsidR="007844D8" w:rsidRDefault="007844D8"/>
                  </w:txbxContent>
                </v:textbox>
              </v:shape>
            </w:pict>
          </mc:Fallback>
        </mc:AlternateContent>
      </w:r>
    </w:p>
    <w:p w:rsidR="007844D8" w:rsidRDefault="007844D8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FF"/>
          <w:sz w:val="36"/>
          <w:szCs w:val="36"/>
        </w:rPr>
      </w:pPr>
    </w:p>
    <w:p w:rsidR="007844D8" w:rsidRDefault="007844D8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FF"/>
          <w:sz w:val="36"/>
          <w:szCs w:val="36"/>
        </w:rPr>
      </w:pPr>
    </w:p>
    <w:p w:rsidR="007844D8" w:rsidRDefault="007844D8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FF"/>
          <w:sz w:val="36"/>
          <w:szCs w:val="36"/>
        </w:rPr>
      </w:pPr>
    </w:p>
    <w:p w:rsidR="009F6218" w:rsidRDefault="0076778E" w:rsidP="009F6218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FF"/>
          <w:sz w:val="36"/>
          <w:szCs w:val="36"/>
        </w:rPr>
      </w:pPr>
      <w:r>
        <w:rPr>
          <w:rFonts w:ascii="ArialNarrow" w:hAnsi="ArialNarrow" w:cs="ArialNarrow"/>
          <w:color w:val="0000FF"/>
          <w:sz w:val="36"/>
          <w:szCs w:val="36"/>
        </w:rPr>
        <w:lastRenderedPageBreak/>
        <w:t xml:space="preserve">Habits of Mind 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Understand the significance of t</w:t>
      </w:r>
      <w:r w:rsidR="0076778E">
        <w:rPr>
          <w:rFonts w:ascii="TimesNewRoman" w:hAnsi="TimesNewRoman" w:cs="TimesNewRoman"/>
          <w:color w:val="000000"/>
        </w:rPr>
        <w:t>he past and the present to own life</w:t>
      </w:r>
      <w:r>
        <w:rPr>
          <w:rFonts w:ascii="TimesNewRoman" w:hAnsi="TimesNewRoman" w:cs="TimesNewRoman"/>
          <w:color w:val="000000"/>
        </w:rPr>
        <w:t xml:space="preserve"> and to the lives of others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Distinguish between the important and the inconsequential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Perceive events and issues as they were experienced by people at the time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Understand how human intentions matter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 w:rsidR="007844D8">
        <w:rPr>
          <w:rFonts w:ascii="TimesNewRoman" w:hAnsi="TimesNewRoman" w:cs="TimesNewRoman"/>
          <w:color w:val="000000"/>
        </w:rPr>
        <w:t>Understand</w:t>
      </w:r>
      <w:r>
        <w:rPr>
          <w:rFonts w:ascii="TimesNewRoman" w:hAnsi="TimesNewRoman" w:cs="TimesNewRoman"/>
          <w:color w:val="000000"/>
        </w:rPr>
        <w:t xml:space="preserve"> the interplay of change and continuity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Realize that</w:t>
      </w:r>
      <w:r w:rsidR="007844D8">
        <w:rPr>
          <w:rFonts w:ascii="TimesNewRoman" w:hAnsi="TimesNewRoman" w:cs="TimesNewRoman"/>
          <w:color w:val="000000"/>
        </w:rPr>
        <w:t xml:space="preserve"> not</w:t>
      </w:r>
      <w:r>
        <w:rPr>
          <w:rFonts w:ascii="TimesNewRoman" w:hAnsi="TimesNewRoman" w:cs="TimesNewRoman"/>
          <w:color w:val="000000"/>
        </w:rPr>
        <w:t xml:space="preserve"> all problems have solutions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Appreciate the often tentative nature of judgments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Recognize the importance of individuals who have made a difference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Appreciate the force of the non-rational, the irrational, and the accidental in human efforts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Understand the relationship between people, time, and place as the context for events</w:t>
      </w:r>
    </w:p>
    <w:p w:rsidR="009F621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Recognize the difference between fact and conjecture</w:t>
      </w:r>
    </w:p>
    <w:p w:rsidR="007844D8" w:rsidRDefault="009F6218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  <w:sectPr w:rsidR="007844D8" w:rsidSect="007844D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SymbolMT" w:hAnsi="SymbolMT" w:cs="SymbolMT"/>
          <w:color w:val="000000"/>
          <w:sz w:val="20"/>
          <w:szCs w:val="20"/>
        </w:rPr>
        <w:t xml:space="preserve">• </w:t>
      </w:r>
      <w:r>
        <w:rPr>
          <w:rFonts w:ascii="TimesNewRoman" w:hAnsi="TimesNewRoman" w:cs="TimesNewRoman"/>
          <w:color w:val="000000"/>
        </w:rPr>
        <w:t>Use evidence to frame useful questions</w:t>
      </w:r>
    </w:p>
    <w:p w:rsidR="0076778E" w:rsidRDefault="0076778E" w:rsidP="009F62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</w:rPr>
      </w:pPr>
    </w:p>
    <w:sectPr w:rsidR="0076778E" w:rsidSect="007844D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BAB"/>
    <w:multiLevelType w:val="hybridMultilevel"/>
    <w:tmpl w:val="3042C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B05AB"/>
    <w:multiLevelType w:val="hybridMultilevel"/>
    <w:tmpl w:val="5BBE2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A2F14"/>
    <w:multiLevelType w:val="hybridMultilevel"/>
    <w:tmpl w:val="91586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70"/>
    <w:rsid w:val="002E7A70"/>
    <w:rsid w:val="0076778E"/>
    <w:rsid w:val="007844D8"/>
    <w:rsid w:val="007C0079"/>
    <w:rsid w:val="009F6218"/>
    <w:rsid w:val="00A95C6C"/>
    <w:rsid w:val="00C6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70"/>
    <w:pPr>
      <w:ind w:left="720"/>
      <w:contextualSpacing/>
    </w:pPr>
  </w:style>
  <w:style w:type="table" w:styleId="TableGrid">
    <w:name w:val="Table Grid"/>
    <w:basedOn w:val="TableNormal"/>
    <w:uiPriority w:val="59"/>
    <w:rsid w:val="002E7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A70"/>
    <w:pPr>
      <w:ind w:left="720"/>
      <w:contextualSpacing/>
    </w:pPr>
  </w:style>
  <w:style w:type="table" w:styleId="TableGrid">
    <w:name w:val="Table Grid"/>
    <w:basedOn w:val="TableNormal"/>
    <w:uiPriority w:val="59"/>
    <w:rsid w:val="002E7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2012-08-10T20:30:00Z</dcterms:created>
  <dcterms:modified xsi:type="dcterms:W3CDTF">2012-08-10T21:33:00Z</dcterms:modified>
</cp:coreProperties>
</file>